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A5" w:rsidRDefault="00221DA5" w:rsidP="00221DA5">
      <w:pPr>
        <w:spacing w:line="360" w:lineRule="auto"/>
        <w:jc w:val="left"/>
        <w:rPr>
          <w:rFonts w:ascii="华文仿宋" w:eastAsia="华文仿宋" w:hAnsi="华文仿宋" w:cs="华文仿宋"/>
          <w:b/>
          <w:bCs/>
          <w:sz w:val="32"/>
          <w:szCs w:val="32"/>
        </w:rPr>
      </w:pPr>
      <w:r>
        <w:rPr>
          <w:rFonts w:ascii="华文仿宋" w:eastAsia="华文仿宋" w:hAnsi="华文仿宋" w:cs="华文仿宋" w:hint="eastAsia"/>
          <w:b/>
          <w:bCs/>
          <w:sz w:val="32"/>
          <w:szCs w:val="32"/>
        </w:rPr>
        <w:t>附件1</w:t>
      </w:r>
      <w:r>
        <w:rPr>
          <w:rFonts w:ascii="华文仿宋" w:eastAsia="华文仿宋" w:hAnsi="华文仿宋" w:cs="华文仿宋"/>
          <w:b/>
          <w:bCs/>
          <w:sz w:val="32"/>
          <w:szCs w:val="32"/>
        </w:rPr>
        <w:t xml:space="preserve"> </w:t>
      </w:r>
    </w:p>
    <w:p w:rsidR="00221DA5" w:rsidRPr="004867C5" w:rsidRDefault="00221DA5" w:rsidP="00221DA5">
      <w:pPr>
        <w:spacing w:line="360" w:lineRule="auto"/>
        <w:jc w:val="center"/>
        <w:rPr>
          <w:rFonts w:ascii="华文仿宋" w:eastAsia="华文仿宋" w:hAnsi="华文仿宋" w:cs="华文仿宋"/>
          <w:b/>
          <w:bCs/>
          <w:sz w:val="32"/>
          <w:szCs w:val="32"/>
        </w:rPr>
      </w:pPr>
      <w:r>
        <w:rPr>
          <w:rFonts w:ascii="方正小标宋简体" w:eastAsia="方正小标宋简体" w:hAnsi="方正小标宋简体" w:cs="方正小标宋简体" w:hint="eastAsia"/>
          <w:sz w:val="36"/>
          <w:szCs w:val="36"/>
        </w:rPr>
        <w:t>参展报名表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260"/>
        <w:gridCol w:w="1566"/>
        <w:gridCol w:w="1105"/>
        <w:gridCol w:w="284"/>
        <w:gridCol w:w="24"/>
        <w:gridCol w:w="1589"/>
        <w:gridCol w:w="707"/>
        <w:gridCol w:w="89"/>
        <w:gridCol w:w="2196"/>
      </w:tblGrid>
      <w:tr w:rsidR="00221DA5" w:rsidTr="00480567">
        <w:trPr>
          <w:trHeight w:val="702"/>
          <w:jc w:val="center"/>
        </w:trPr>
        <w:tc>
          <w:tcPr>
            <w:tcW w:w="900" w:type="dxa"/>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展会名称</w:t>
            </w:r>
          </w:p>
        </w:tc>
        <w:tc>
          <w:tcPr>
            <w:tcW w:w="8820" w:type="dxa"/>
            <w:gridSpan w:val="9"/>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摩洛哥中国贸易展</w:t>
            </w:r>
          </w:p>
        </w:tc>
      </w:tr>
      <w:tr w:rsidR="00221DA5" w:rsidTr="00480567">
        <w:trPr>
          <w:cantSplit/>
          <w:trHeight w:val="379"/>
          <w:jc w:val="center"/>
        </w:trPr>
        <w:tc>
          <w:tcPr>
            <w:tcW w:w="900" w:type="dxa"/>
            <w:vMerge w:val="restart"/>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参</w:t>
            </w:r>
          </w:p>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展</w:t>
            </w:r>
          </w:p>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单</w:t>
            </w:r>
          </w:p>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位</w:t>
            </w:r>
          </w:p>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信</w:t>
            </w:r>
          </w:p>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息</w:t>
            </w:r>
          </w:p>
        </w:tc>
        <w:tc>
          <w:tcPr>
            <w:tcW w:w="1260" w:type="dxa"/>
            <w:vMerge w:val="restart"/>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7560" w:type="dxa"/>
            <w:gridSpan w:val="8"/>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 xml:space="preserve">中文：                            </w:t>
            </w:r>
          </w:p>
        </w:tc>
      </w:tr>
      <w:tr w:rsidR="00221DA5" w:rsidTr="00480567">
        <w:trPr>
          <w:cantSplit/>
          <w:trHeight w:val="399"/>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1260" w:type="dxa"/>
            <w:vMerge/>
            <w:vAlign w:val="center"/>
          </w:tcPr>
          <w:p w:rsidR="00221DA5" w:rsidRDefault="00221DA5" w:rsidP="00480567">
            <w:pPr>
              <w:jc w:val="center"/>
              <w:rPr>
                <w:rFonts w:ascii="仿宋_GB2312" w:eastAsia="仿宋_GB2312" w:hAnsi="仿宋_GB2312" w:cs="仿宋_GB2312"/>
                <w:sz w:val="24"/>
              </w:rPr>
            </w:pPr>
          </w:p>
        </w:tc>
        <w:tc>
          <w:tcPr>
            <w:tcW w:w="7560" w:type="dxa"/>
            <w:gridSpan w:val="8"/>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英文：</w:t>
            </w:r>
          </w:p>
        </w:tc>
      </w:tr>
      <w:tr w:rsidR="00221DA5" w:rsidTr="00480567">
        <w:trPr>
          <w:cantSplit/>
          <w:trHeight w:val="357"/>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1260" w:type="dxa"/>
            <w:vMerge w:val="restart"/>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地址</w:t>
            </w:r>
          </w:p>
        </w:tc>
        <w:tc>
          <w:tcPr>
            <w:tcW w:w="7560" w:type="dxa"/>
            <w:gridSpan w:val="8"/>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中文：</w:t>
            </w:r>
          </w:p>
        </w:tc>
      </w:tr>
      <w:tr w:rsidR="00221DA5" w:rsidTr="00480567">
        <w:trPr>
          <w:cantSplit/>
          <w:trHeight w:val="401"/>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1260" w:type="dxa"/>
            <w:vMerge/>
            <w:vAlign w:val="center"/>
          </w:tcPr>
          <w:p w:rsidR="00221DA5" w:rsidRDefault="00221DA5" w:rsidP="00480567">
            <w:pPr>
              <w:jc w:val="center"/>
              <w:rPr>
                <w:rFonts w:ascii="仿宋_GB2312" w:eastAsia="仿宋_GB2312" w:hAnsi="仿宋_GB2312" w:cs="仿宋_GB2312"/>
                <w:sz w:val="24"/>
              </w:rPr>
            </w:pPr>
          </w:p>
        </w:tc>
        <w:tc>
          <w:tcPr>
            <w:tcW w:w="7560" w:type="dxa"/>
            <w:gridSpan w:val="8"/>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英文：</w:t>
            </w:r>
          </w:p>
        </w:tc>
      </w:tr>
      <w:tr w:rsidR="00221DA5" w:rsidTr="00480567">
        <w:trPr>
          <w:cantSplit/>
          <w:trHeight w:val="463"/>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1260" w:type="dxa"/>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邮编</w:t>
            </w:r>
          </w:p>
        </w:tc>
        <w:tc>
          <w:tcPr>
            <w:tcW w:w="1566" w:type="dxa"/>
            <w:vAlign w:val="center"/>
          </w:tcPr>
          <w:p w:rsidR="00221DA5" w:rsidRDefault="00221DA5" w:rsidP="00480567">
            <w:pPr>
              <w:jc w:val="center"/>
              <w:rPr>
                <w:rFonts w:ascii="仿宋_GB2312" w:eastAsia="仿宋_GB2312" w:hAnsi="仿宋_GB2312" w:cs="仿宋_GB2312"/>
                <w:sz w:val="24"/>
              </w:rPr>
            </w:pPr>
          </w:p>
        </w:tc>
        <w:tc>
          <w:tcPr>
            <w:tcW w:w="1105" w:type="dxa"/>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联系人</w:t>
            </w:r>
          </w:p>
        </w:tc>
        <w:tc>
          <w:tcPr>
            <w:tcW w:w="1897" w:type="dxa"/>
            <w:gridSpan w:val="3"/>
            <w:vAlign w:val="center"/>
          </w:tcPr>
          <w:p w:rsidR="00221DA5" w:rsidRDefault="00221DA5" w:rsidP="00480567">
            <w:pPr>
              <w:jc w:val="center"/>
              <w:rPr>
                <w:rFonts w:ascii="仿宋_GB2312" w:eastAsia="仿宋_GB2312" w:hAnsi="仿宋_GB2312" w:cs="仿宋_GB2312"/>
                <w:sz w:val="24"/>
              </w:rPr>
            </w:pPr>
          </w:p>
        </w:tc>
        <w:tc>
          <w:tcPr>
            <w:tcW w:w="707" w:type="dxa"/>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职务</w:t>
            </w:r>
          </w:p>
        </w:tc>
        <w:tc>
          <w:tcPr>
            <w:tcW w:w="2285" w:type="dxa"/>
            <w:gridSpan w:val="2"/>
            <w:vAlign w:val="center"/>
          </w:tcPr>
          <w:p w:rsidR="00221DA5" w:rsidRDefault="00221DA5" w:rsidP="00480567">
            <w:pPr>
              <w:jc w:val="center"/>
              <w:rPr>
                <w:rFonts w:ascii="仿宋_GB2312" w:eastAsia="仿宋_GB2312" w:hAnsi="仿宋_GB2312" w:cs="仿宋_GB2312"/>
                <w:sz w:val="24"/>
              </w:rPr>
            </w:pPr>
          </w:p>
        </w:tc>
      </w:tr>
      <w:tr w:rsidR="00221DA5" w:rsidTr="00480567">
        <w:trPr>
          <w:cantSplit/>
          <w:trHeight w:val="440"/>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1260" w:type="dxa"/>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电话</w:t>
            </w:r>
          </w:p>
        </w:tc>
        <w:tc>
          <w:tcPr>
            <w:tcW w:w="1566" w:type="dxa"/>
            <w:vAlign w:val="center"/>
          </w:tcPr>
          <w:p w:rsidR="00221DA5" w:rsidRDefault="00221DA5" w:rsidP="00480567">
            <w:pPr>
              <w:jc w:val="center"/>
              <w:rPr>
                <w:rFonts w:ascii="仿宋_GB2312" w:eastAsia="仿宋_GB2312" w:hAnsi="仿宋_GB2312" w:cs="仿宋_GB2312"/>
                <w:sz w:val="24"/>
              </w:rPr>
            </w:pPr>
          </w:p>
        </w:tc>
        <w:tc>
          <w:tcPr>
            <w:tcW w:w="1105" w:type="dxa"/>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传真</w:t>
            </w:r>
          </w:p>
        </w:tc>
        <w:tc>
          <w:tcPr>
            <w:tcW w:w="1897" w:type="dxa"/>
            <w:gridSpan w:val="3"/>
            <w:vAlign w:val="center"/>
          </w:tcPr>
          <w:p w:rsidR="00221DA5" w:rsidRDefault="00221DA5" w:rsidP="00480567">
            <w:pPr>
              <w:jc w:val="center"/>
              <w:rPr>
                <w:rFonts w:ascii="仿宋_GB2312" w:eastAsia="仿宋_GB2312" w:hAnsi="仿宋_GB2312" w:cs="仿宋_GB2312"/>
                <w:sz w:val="24"/>
              </w:rPr>
            </w:pPr>
          </w:p>
        </w:tc>
        <w:tc>
          <w:tcPr>
            <w:tcW w:w="707" w:type="dxa"/>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手机</w:t>
            </w:r>
          </w:p>
        </w:tc>
        <w:tc>
          <w:tcPr>
            <w:tcW w:w="2285" w:type="dxa"/>
            <w:gridSpan w:val="2"/>
            <w:vAlign w:val="center"/>
          </w:tcPr>
          <w:p w:rsidR="00221DA5" w:rsidRDefault="00221DA5" w:rsidP="00480567">
            <w:pPr>
              <w:jc w:val="center"/>
              <w:rPr>
                <w:rFonts w:ascii="仿宋_GB2312" w:eastAsia="仿宋_GB2312" w:hAnsi="仿宋_GB2312" w:cs="仿宋_GB2312"/>
                <w:sz w:val="24"/>
              </w:rPr>
            </w:pPr>
          </w:p>
        </w:tc>
      </w:tr>
      <w:tr w:rsidR="00221DA5" w:rsidTr="00480567">
        <w:trPr>
          <w:cantSplit/>
          <w:trHeight w:val="400"/>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1260" w:type="dxa"/>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E-mail</w:t>
            </w:r>
          </w:p>
        </w:tc>
        <w:tc>
          <w:tcPr>
            <w:tcW w:w="7560" w:type="dxa"/>
            <w:gridSpan w:val="8"/>
            <w:vAlign w:val="center"/>
          </w:tcPr>
          <w:p w:rsidR="00221DA5" w:rsidRDefault="00221DA5" w:rsidP="00480567">
            <w:pPr>
              <w:jc w:val="center"/>
              <w:rPr>
                <w:rFonts w:ascii="仿宋_GB2312" w:eastAsia="仿宋_GB2312" w:hAnsi="仿宋_GB2312" w:cs="仿宋_GB2312"/>
                <w:sz w:val="24"/>
              </w:rPr>
            </w:pPr>
          </w:p>
        </w:tc>
      </w:tr>
      <w:tr w:rsidR="00221DA5" w:rsidTr="00480567">
        <w:trPr>
          <w:cantSplit/>
          <w:trHeight w:val="357"/>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1260" w:type="dxa"/>
            <w:vMerge w:val="restart"/>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申请展</w:t>
            </w:r>
          </w:p>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位数量</w:t>
            </w:r>
          </w:p>
        </w:tc>
        <w:tc>
          <w:tcPr>
            <w:tcW w:w="2955" w:type="dxa"/>
            <w:gridSpan w:val="3"/>
            <w:vMerge w:val="restart"/>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 xml:space="preserve">                 /个        </w:t>
            </w:r>
          </w:p>
        </w:tc>
        <w:tc>
          <w:tcPr>
            <w:tcW w:w="2409" w:type="dxa"/>
            <w:gridSpan w:val="4"/>
            <w:vMerge w:val="restart"/>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随团参展人数</w:t>
            </w:r>
          </w:p>
        </w:tc>
        <w:tc>
          <w:tcPr>
            <w:tcW w:w="2196" w:type="dxa"/>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因公护照：    人</w:t>
            </w:r>
          </w:p>
        </w:tc>
      </w:tr>
      <w:tr w:rsidR="00221DA5" w:rsidTr="00480567">
        <w:trPr>
          <w:cantSplit/>
          <w:trHeight w:val="399"/>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1260" w:type="dxa"/>
            <w:vMerge/>
            <w:vAlign w:val="center"/>
          </w:tcPr>
          <w:p w:rsidR="00221DA5" w:rsidRDefault="00221DA5" w:rsidP="00480567">
            <w:pPr>
              <w:jc w:val="center"/>
              <w:rPr>
                <w:rFonts w:ascii="仿宋_GB2312" w:eastAsia="仿宋_GB2312" w:hAnsi="仿宋_GB2312" w:cs="仿宋_GB2312"/>
                <w:sz w:val="24"/>
              </w:rPr>
            </w:pPr>
          </w:p>
        </w:tc>
        <w:tc>
          <w:tcPr>
            <w:tcW w:w="2955" w:type="dxa"/>
            <w:gridSpan w:val="3"/>
            <w:vMerge/>
            <w:vAlign w:val="center"/>
          </w:tcPr>
          <w:p w:rsidR="00221DA5" w:rsidRDefault="00221DA5" w:rsidP="00480567">
            <w:pPr>
              <w:rPr>
                <w:rFonts w:ascii="仿宋_GB2312" w:eastAsia="仿宋_GB2312" w:hAnsi="仿宋_GB2312" w:cs="仿宋_GB2312"/>
                <w:sz w:val="24"/>
              </w:rPr>
            </w:pPr>
          </w:p>
        </w:tc>
        <w:tc>
          <w:tcPr>
            <w:tcW w:w="2409" w:type="dxa"/>
            <w:gridSpan w:val="4"/>
            <w:vMerge/>
            <w:vAlign w:val="center"/>
          </w:tcPr>
          <w:p w:rsidR="00221DA5" w:rsidRDefault="00221DA5" w:rsidP="00480567">
            <w:pPr>
              <w:jc w:val="center"/>
              <w:rPr>
                <w:rFonts w:ascii="仿宋_GB2312" w:eastAsia="仿宋_GB2312" w:hAnsi="仿宋_GB2312" w:cs="仿宋_GB2312"/>
                <w:sz w:val="24"/>
              </w:rPr>
            </w:pPr>
          </w:p>
        </w:tc>
        <w:tc>
          <w:tcPr>
            <w:tcW w:w="2196" w:type="dxa"/>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因私护照：    人</w:t>
            </w:r>
          </w:p>
        </w:tc>
      </w:tr>
      <w:tr w:rsidR="00221DA5" w:rsidTr="00480567">
        <w:trPr>
          <w:cantSplit/>
          <w:trHeight w:val="707"/>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8820" w:type="dxa"/>
            <w:gridSpan w:val="9"/>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展位费：41000元/个（9㎡标准展位，含基本搭建）；</w:t>
            </w:r>
          </w:p>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人员费：28800元/人（行程：全程10天）；</w:t>
            </w:r>
          </w:p>
        </w:tc>
      </w:tr>
      <w:tr w:rsidR="00221DA5" w:rsidTr="00480567">
        <w:trPr>
          <w:cantSplit/>
          <w:trHeight w:val="459"/>
          <w:jc w:val="center"/>
        </w:trPr>
        <w:tc>
          <w:tcPr>
            <w:tcW w:w="900" w:type="dxa"/>
            <w:vMerge w:val="restart"/>
            <w:vAlign w:val="center"/>
          </w:tcPr>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主要</w:t>
            </w:r>
          </w:p>
          <w:p w:rsidR="00221DA5" w:rsidRDefault="00221DA5" w:rsidP="00480567">
            <w:pPr>
              <w:jc w:val="center"/>
              <w:rPr>
                <w:rFonts w:ascii="仿宋_GB2312" w:eastAsia="仿宋_GB2312" w:hAnsi="仿宋_GB2312" w:cs="仿宋_GB2312"/>
                <w:sz w:val="24"/>
              </w:rPr>
            </w:pPr>
            <w:r>
              <w:rPr>
                <w:rFonts w:ascii="仿宋_GB2312" w:eastAsia="仿宋_GB2312" w:hAnsi="仿宋_GB2312" w:cs="仿宋_GB2312" w:hint="eastAsia"/>
                <w:sz w:val="24"/>
              </w:rPr>
              <w:t>展品</w:t>
            </w:r>
          </w:p>
        </w:tc>
        <w:tc>
          <w:tcPr>
            <w:tcW w:w="8820" w:type="dxa"/>
            <w:gridSpan w:val="9"/>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中文：</w:t>
            </w:r>
          </w:p>
        </w:tc>
      </w:tr>
      <w:tr w:rsidR="00221DA5" w:rsidTr="00480567">
        <w:trPr>
          <w:cantSplit/>
          <w:trHeight w:val="451"/>
          <w:jc w:val="center"/>
        </w:trPr>
        <w:tc>
          <w:tcPr>
            <w:tcW w:w="900" w:type="dxa"/>
            <w:vMerge/>
            <w:vAlign w:val="center"/>
          </w:tcPr>
          <w:p w:rsidR="00221DA5" w:rsidRDefault="00221DA5" w:rsidP="00480567">
            <w:pPr>
              <w:jc w:val="center"/>
              <w:rPr>
                <w:rFonts w:ascii="仿宋_GB2312" w:eastAsia="仿宋_GB2312" w:hAnsi="仿宋_GB2312" w:cs="仿宋_GB2312"/>
                <w:sz w:val="24"/>
              </w:rPr>
            </w:pPr>
          </w:p>
        </w:tc>
        <w:tc>
          <w:tcPr>
            <w:tcW w:w="8820" w:type="dxa"/>
            <w:gridSpan w:val="9"/>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英文：</w:t>
            </w:r>
          </w:p>
        </w:tc>
      </w:tr>
      <w:tr w:rsidR="00221DA5" w:rsidTr="00480567">
        <w:trPr>
          <w:trHeight w:val="495"/>
          <w:jc w:val="center"/>
        </w:trPr>
        <w:tc>
          <w:tcPr>
            <w:tcW w:w="5139" w:type="dxa"/>
            <w:gridSpan w:val="6"/>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参展负责人签字：</w:t>
            </w:r>
          </w:p>
        </w:tc>
        <w:tc>
          <w:tcPr>
            <w:tcW w:w="4581" w:type="dxa"/>
            <w:gridSpan w:val="4"/>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参展单位法人代表签字：</w:t>
            </w:r>
          </w:p>
        </w:tc>
      </w:tr>
      <w:tr w:rsidR="00221DA5" w:rsidTr="00480567">
        <w:trPr>
          <w:trHeight w:val="1061"/>
          <w:jc w:val="center"/>
        </w:trPr>
        <w:tc>
          <w:tcPr>
            <w:tcW w:w="5139" w:type="dxa"/>
            <w:gridSpan w:val="6"/>
            <w:vAlign w:val="center"/>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组展单位公章</w:t>
            </w:r>
          </w:p>
          <w:p w:rsidR="00221DA5" w:rsidRDefault="00221DA5" w:rsidP="00480567">
            <w:pPr>
              <w:ind w:firstLineChars="1050" w:firstLine="2520"/>
              <w:jc w:val="left"/>
              <w:rPr>
                <w:rFonts w:ascii="仿宋_GB2312" w:eastAsia="仿宋_GB2312" w:hAnsi="仿宋_GB2312" w:cs="仿宋_GB2312"/>
                <w:sz w:val="24"/>
              </w:rPr>
            </w:pPr>
          </w:p>
          <w:p w:rsidR="00221DA5" w:rsidRDefault="00221DA5" w:rsidP="00480567">
            <w:pPr>
              <w:ind w:firstLineChars="1200" w:firstLine="2880"/>
              <w:rPr>
                <w:rFonts w:ascii="仿宋_GB2312" w:eastAsia="仿宋_GB2312" w:hAnsi="仿宋_GB2312" w:cs="仿宋_GB2312"/>
                <w:sz w:val="24"/>
              </w:rPr>
            </w:pPr>
            <w:r>
              <w:rPr>
                <w:rFonts w:ascii="仿宋_GB2312" w:eastAsia="仿宋_GB2312" w:hAnsi="仿宋_GB2312" w:cs="仿宋_GB2312" w:hint="eastAsia"/>
                <w:sz w:val="24"/>
              </w:rPr>
              <w:t>年     月     日</w:t>
            </w:r>
          </w:p>
        </w:tc>
        <w:tc>
          <w:tcPr>
            <w:tcW w:w="4581" w:type="dxa"/>
            <w:gridSpan w:val="4"/>
          </w:tcPr>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参展单位公章</w:t>
            </w:r>
          </w:p>
          <w:p w:rsidR="00221DA5" w:rsidRDefault="00221DA5" w:rsidP="00480567">
            <w:pP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221DA5" w:rsidRDefault="00221DA5" w:rsidP="00480567">
            <w:pPr>
              <w:jc w:val="right"/>
              <w:rPr>
                <w:rFonts w:ascii="仿宋_GB2312" w:eastAsia="仿宋_GB2312" w:hAnsi="仿宋_GB2312" w:cs="仿宋_GB2312"/>
                <w:sz w:val="24"/>
              </w:rPr>
            </w:pPr>
            <w:r>
              <w:rPr>
                <w:rFonts w:ascii="仿宋_GB2312" w:eastAsia="仿宋_GB2312" w:hAnsi="仿宋_GB2312" w:cs="仿宋_GB2312" w:hint="eastAsia"/>
                <w:sz w:val="24"/>
              </w:rPr>
              <w:t xml:space="preserve"> 年     月     日</w:t>
            </w:r>
          </w:p>
        </w:tc>
      </w:tr>
    </w:tbl>
    <w:p w:rsidR="00221DA5" w:rsidRDefault="00221DA5" w:rsidP="00221DA5">
      <w:pPr>
        <w:snapToGrid w:val="0"/>
        <w:spacing w:line="320" w:lineRule="exact"/>
        <w:ind w:leftChars="-200" w:left="-420"/>
        <w:jc w:val="left"/>
        <w:rPr>
          <w:rFonts w:ascii="Verdana" w:eastAsia="新宋体" w:hAnsi="Verdana" w:cs="Microsoft Sans Serif"/>
          <w:b/>
          <w:szCs w:val="21"/>
        </w:rPr>
      </w:pPr>
      <w:r>
        <w:rPr>
          <w:rFonts w:ascii="Verdana" w:eastAsia="新宋体" w:hAnsi="Verdana" w:cs="Microsoft Sans Serif" w:hint="eastAsia"/>
          <w:b/>
          <w:szCs w:val="21"/>
        </w:rPr>
        <w:t>联系人：</w:t>
      </w:r>
      <w:r>
        <w:rPr>
          <w:rFonts w:ascii="Verdana" w:eastAsia="新宋体" w:hAnsi="Verdana" w:cs="Microsoft Sans Serif" w:hint="eastAsia"/>
          <w:b/>
          <w:szCs w:val="21"/>
        </w:rPr>
        <w:t xml:space="preserve">                              </w:t>
      </w:r>
      <w:r>
        <w:rPr>
          <w:rFonts w:ascii="Verdana" w:eastAsia="新宋体" w:hAnsi="Verdana" w:cs="Microsoft Sans Serif" w:hint="eastAsia"/>
          <w:b/>
          <w:szCs w:val="21"/>
        </w:rPr>
        <w:t>手机：</w:t>
      </w:r>
      <w:r>
        <w:rPr>
          <w:rFonts w:ascii="Verdana" w:eastAsia="新宋体" w:hAnsi="Verdana" w:cs="Microsoft Sans Serif" w:hint="eastAsia"/>
          <w:b/>
          <w:szCs w:val="21"/>
        </w:rPr>
        <w:t xml:space="preserve">                               </w:t>
      </w:r>
      <w:r>
        <w:rPr>
          <w:rFonts w:ascii="Verdana" w:eastAsia="新宋体" w:hAnsi="Verdana" w:cs="Microsoft Sans Serif" w:hint="eastAsia"/>
          <w:b/>
          <w:szCs w:val="21"/>
        </w:rPr>
        <w:t>座机：</w:t>
      </w:r>
    </w:p>
    <w:p w:rsidR="00221DA5" w:rsidRDefault="00221DA5" w:rsidP="00221DA5">
      <w:pPr>
        <w:snapToGrid w:val="0"/>
        <w:spacing w:line="320" w:lineRule="exact"/>
        <w:ind w:leftChars="-200" w:left="-420"/>
        <w:jc w:val="left"/>
        <w:rPr>
          <w:rFonts w:ascii="Verdana" w:eastAsia="新宋体" w:hAnsi="Verdana" w:cs="Microsoft Sans Serif"/>
          <w:b/>
          <w:szCs w:val="21"/>
        </w:rPr>
      </w:pPr>
    </w:p>
    <w:p w:rsidR="00221DA5" w:rsidRDefault="00221DA5" w:rsidP="00221DA5">
      <w:pPr>
        <w:snapToGrid w:val="0"/>
        <w:spacing w:line="320" w:lineRule="exact"/>
        <w:ind w:leftChars="-200" w:left="-420"/>
        <w:jc w:val="left"/>
        <w:rPr>
          <w:rFonts w:ascii="Verdana" w:eastAsia="新宋体" w:hAnsi="Verdana" w:cs="Microsoft Sans Serif"/>
          <w:b/>
          <w:szCs w:val="21"/>
        </w:rPr>
      </w:pPr>
      <w:r>
        <w:rPr>
          <w:rFonts w:ascii="Verdana" w:eastAsia="新宋体" w:hAnsi="Verdana" w:cs="Microsoft Sans Serif" w:hint="eastAsia"/>
          <w:b/>
          <w:szCs w:val="21"/>
        </w:rPr>
        <w:lastRenderedPageBreak/>
        <w:t>参展须知：</w:t>
      </w:r>
      <w:r>
        <w:rPr>
          <w:rFonts w:ascii="Verdana" w:eastAsia="新宋体" w:hAnsi="Verdana" w:cs="Microsoft Sans Serif" w:hint="eastAsia"/>
          <w:b/>
          <w:szCs w:val="21"/>
        </w:rPr>
        <w:t xml:space="preserve"> </w:t>
      </w:r>
    </w:p>
    <w:p w:rsidR="00221DA5" w:rsidRDefault="00221DA5" w:rsidP="00221DA5">
      <w:pPr>
        <w:snapToGrid w:val="0"/>
        <w:spacing w:line="320" w:lineRule="exact"/>
        <w:ind w:leftChars="-200" w:left="-420" w:rightChars="-188" w:right="-395"/>
        <w:jc w:val="left"/>
        <w:rPr>
          <w:rFonts w:ascii="宋体" w:hAnsi="宋体" w:cs="Microsoft Sans Serif"/>
          <w:sz w:val="18"/>
          <w:szCs w:val="18"/>
        </w:rPr>
      </w:pPr>
      <w:r>
        <w:rPr>
          <w:rFonts w:ascii="宋体" w:hAnsi="宋体" w:cs="Microsoft Sans Serif"/>
          <w:sz w:val="18"/>
          <w:szCs w:val="18"/>
        </w:rPr>
        <w:t>1</w:t>
      </w:r>
      <w:r>
        <w:rPr>
          <w:rFonts w:ascii="宋体" w:hAnsi="宋体" w:cs="Microsoft Sans Serif" w:hint="eastAsia"/>
          <w:sz w:val="18"/>
          <w:szCs w:val="18"/>
        </w:rPr>
        <w:t>、参展申请得到组展单位确认后，请参展单位按照付款通知要求电汇展位定金到组展单位指定账户。参展单位逾期付款的将视为放弃参展，原定展位组展方有权另行安排。</w:t>
      </w:r>
    </w:p>
    <w:p w:rsidR="00221DA5" w:rsidRDefault="00221DA5" w:rsidP="00221DA5">
      <w:pPr>
        <w:snapToGrid w:val="0"/>
        <w:spacing w:line="320" w:lineRule="exact"/>
        <w:ind w:leftChars="-200" w:left="-420" w:rightChars="-188" w:right="-395"/>
        <w:jc w:val="left"/>
        <w:rPr>
          <w:rFonts w:ascii="宋体" w:hAnsi="宋体" w:cs="Microsoft Sans Serif"/>
          <w:sz w:val="18"/>
          <w:szCs w:val="18"/>
        </w:rPr>
      </w:pPr>
      <w:r>
        <w:rPr>
          <w:rFonts w:ascii="宋体" w:hAnsi="宋体" w:cs="Microsoft Sans Serif"/>
          <w:sz w:val="18"/>
          <w:szCs w:val="18"/>
        </w:rPr>
        <w:t>2</w:t>
      </w:r>
      <w:r>
        <w:rPr>
          <w:rFonts w:ascii="宋体" w:hAnsi="宋体" w:cs="Microsoft Sans Serif" w:hint="eastAsia"/>
          <w:sz w:val="18"/>
          <w:szCs w:val="18"/>
        </w:rPr>
        <w:t>、参展单位应当合法参展，严格遵守展会各项规定。并承诺不侵犯他人合法权益（包括但不限于知识产权）。如因参展单位侵权行为而给他人或组展方造成损失的，应独立承担法律责任。</w:t>
      </w:r>
    </w:p>
    <w:p w:rsidR="00221DA5" w:rsidRDefault="00221DA5" w:rsidP="00221DA5">
      <w:pPr>
        <w:snapToGrid w:val="0"/>
        <w:spacing w:line="320" w:lineRule="exact"/>
        <w:ind w:leftChars="-200" w:left="-420" w:rightChars="-188" w:right="-395"/>
        <w:jc w:val="left"/>
        <w:rPr>
          <w:rFonts w:ascii="宋体" w:hAnsi="宋体" w:cs="Microsoft Sans Serif"/>
          <w:sz w:val="18"/>
          <w:szCs w:val="18"/>
        </w:rPr>
      </w:pPr>
      <w:r>
        <w:rPr>
          <w:rFonts w:ascii="宋体" w:hAnsi="宋体" w:cs="Microsoft Sans Serif"/>
          <w:sz w:val="18"/>
          <w:szCs w:val="18"/>
        </w:rPr>
        <w:t>3</w:t>
      </w:r>
      <w:r>
        <w:rPr>
          <w:rFonts w:ascii="宋体" w:hAnsi="宋体" w:cs="Microsoft Sans Serif" w:hint="eastAsia"/>
          <w:sz w:val="18"/>
          <w:szCs w:val="18"/>
        </w:rPr>
        <w:t>、参展单位在确认参展、交纳定金和</w:t>
      </w:r>
      <w:r>
        <w:rPr>
          <w:rFonts w:ascii="宋体" w:hAnsi="宋体" w:cs="Microsoft Sans Serif"/>
          <w:sz w:val="18"/>
          <w:szCs w:val="18"/>
        </w:rPr>
        <w:t>/</w:t>
      </w:r>
      <w:r>
        <w:rPr>
          <w:rFonts w:ascii="宋体" w:hAnsi="宋体" w:cs="Microsoft Sans Serif" w:hint="eastAsia"/>
          <w:sz w:val="18"/>
          <w:szCs w:val="18"/>
        </w:rPr>
        <w:t>或参展费用后又放弃或终止（或低于约定参展面积的</w:t>
      </w:r>
      <w:r>
        <w:rPr>
          <w:rFonts w:ascii="宋体" w:hAnsi="宋体" w:cs="Microsoft Sans Serif"/>
          <w:sz w:val="18"/>
          <w:szCs w:val="18"/>
        </w:rPr>
        <w:t>50%</w:t>
      </w:r>
      <w:r>
        <w:rPr>
          <w:rFonts w:ascii="宋体" w:hAnsi="宋体" w:cs="Microsoft Sans Serif" w:hint="eastAsia"/>
          <w:sz w:val="18"/>
          <w:szCs w:val="18"/>
        </w:rPr>
        <w:t>）参展的，定金和</w:t>
      </w:r>
      <w:r>
        <w:rPr>
          <w:rFonts w:ascii="宋体" w:hAnsi="宋体" w:cs="Microsoft Sans Serif"/>
          <w:sz w:val="18"/>
          <w:szCs w:val="18"/>
        </w:rPr>
        <w:t>/</w:t>
      </w:r>
      <w:r>
        <w:rPr>
          <w:rFonts w:ascii="宋体" w:hAnsi="宋体" w:cs="Microsoft Sans Serif" w:hint="eastAsia"/>
          <w:sz w:val="18"/>
          <w:szCs w:val="18"/>
        </w:rPr>
        <w:t>或参展费用不予退还；给组展方造成损失（包括不限于经济损失）的，组展方保留进一步追究责任的权力。</w:t>
      </w:r>
    </w:p>
    <w:p w:rsidR="00221DA5" w:rsidRDefault="00221DA5" w:rsidP="00221DA5">
      <w:pPr>
        <w:snapToGrid w:val="0"/>
        <w:spacing w:line="320" w:lineRule="exact"/>
        <w:ind w:leftChars="-200" w:left="-420"/>
        <w:jc w:val="left"/>
        <w:rPr>
          <w:rFonts w:ascii="宋体" w:hAnsi="宋体" w:cs="Microsoft Sans Serif"/>
          <w:sz w:val="18"/>
          <w:szCs w:val="18"/>
        </w:rPr>
      </w:pPr>
      <w:r>
        <w:rPr>
          <w:rFonts w:ascii="宋体" w:hAnsi="宋体" w:cs="Microsoft Sans Serif" w:hint="eastAsia"/>
          <w:sz w:val="18"/>
          <w:szCs w:val="18"/>
        </w:rPr>
        <w:t>4、请参展单位根据招展通知及组展单位随后发放的系列通知或文件中规定的时间和要求，提前做好各项准备工作。</w:t>
      </w:r>
    </w:p>
    <w:p w:rsidR="00221DA5" w:rsidRDefault="00221DA5" w:rsidP="00221DA5">
      <w:pPr>
        <w:snapToGrid w:val="0"/>
        <w:spacing w:line="320" w:lineRule="exact"/>
        <w:ind w:leftChars="-200" w:left="-420"/>
        <w:jc w:val="left"/>
        <w:rPr>
          <w:rFonts w:ascii="宋体" w:hAnsi="宋体" w:cs="Microsoft Sans Serif"/>
          <w:sz w:val="18"/>
          <w:szCs w:val="18"/>
        </w:rPr>
      </w:pPr>
      <w:r>
        <w:rPr>
          <w:rFonts w:ascii="宋体" w:hAnsi="宋体" w:cs="Microsoft Sans Serif" w:hint="eastAsia"/>
          <w:sz w:val="18"/>
          <w:szCs w:val="18"/>
        </w:rPr>
        <w:t>5、如实际分配展位面积</w:t>
      </w:r>
      <w:r>
        <w:rPr>
          <w:rFonts w:ascii="宋体" w:hAnsi="宋体" w:cs="Microsoft Sans Serif"/>
          <w:sz w:val="18"/>
          <w:szCs w:val="18"/>
        </w:rPr>
        <w:t>(</w:t>
      </w:r>
      <w:r>
        <w:rPr>
          <w:rFonts w:ascii="宋体" w:hAnsi="宋体" w:cs="Microsoft Sans Serif" w:hint="eastAsia"/>
          <w:sz w:val="18"/>
          <w:szCs w:val="18"/>
        </w:rPr>
        <w:t>或形式</w:t>
      </w:r>
      <w:r>
        <w:rPr>
          <w:rFonts w:ascii="宋体" w:hAnsi="宋体" w:cs="Microsoft Sans Serif"/>
          <w:sz w:val="18"/>
          <w:szCs w:val="18"/>
        </w:rPr>
        <w:t>)</w:t>
      </w:r>
      <w:r>
        <w:rPr>
          <w:rFonts w:ascii="宋体" w:hAnsi="宋体" w:cs="Microsoft Sans Serif" w:hint="eastAsia"/>
          <w:sz w:val="18"/>
          <w:szCs w:val="18"/>
        </w:rPr>
        <w:t>与申请的不一致，应以组展方“展位确认函</w:t>
      </w:r>
      <w:r>
        <w:rPr>
          <w:rFonts w:ascii="宋体" w:cs="Microsoft Sans Serif" w:hint="eastAsia"/>
          <w:sz w:val="18"/>
          <w:szCs w:val="18"/>
        </w:rPr>
        <w:t>”</w:t>
      </w:r>
      <w:r>
        <w:rPr>
          <w:rFonts w:ascii="宋体" w:hAnsi="宋体" w:cs="Microsoft Sans Serif" w:hint="eastAsia"/>
          <w:sz w:val="18"/>
          <w:szCs w:val="18"/>
        </w:rPr>
        <w:t>为准，此函作为本合同的组成部分。</w:t>
      </w:r>
    </w:p>
    <w:p w:rsidR="00221DA5" w:rsidRDefault="00221DA5" w:rsidP="00221DA5">
      <w:pPr>
        <w:snapToGrid w:val="0"/>
        <w:spacing w:line="320" w:lineRule="exact"/>
        <w:ind w:leftChars="-200" w:left="-420" w:rightChars="-188" w:right="-395"/>
        <w:jc w:val="left"/>
        <w:rPr>
          <w:rFonts w:ascii="宋体" w:hAnsi="宋体" w:cs="Microsoft Sans Serif"/>
          <w:sz w:val="18"/>
          <w:szCs w:val="18"/>
        </w:rPr>
      </w:pPr>
      <w:r>
        <w:rPr>
          <w:rFonts w:ascii="宋体" w:hAnsi="宋体" w:cs="Microsoft Sans Serif" w:hint="eastAsia"/>
          <w:sz w:val="18"/>
          <w:szCs w:val="18"/>
        </w:rPr>
        <w:t>6、如果不可抗力原因或组展方及主办单位不可控制的原因导致本次展会发生变更或取消的，组展单位不承担违约责任。由于不可抗力造成的相应后果（包括但不限于费用等）由各方自行承担。</w:t>
      </w:r>
    </w:p>
    <w:p w:rsidR="00221DA5" w:rsidRDefault="00221DA5" w:rsidP="00221DA5">
      <w:pPr>
        <w:snapToGrid w:val="0"/>
        <w:spacing w:line="320" w:lineRule="exact"/>
        <w:ind w:leftChars="-200" w:left="-420" w:rightChars="-188" w:right="-395"/>
        <w:jc w:val="left"/>
        <w:rPr>
          <w:rFonts w:ascii="宋体" w:hAnsi="宋体" w:cs="Microsoft Sans Serif"/>
          <w:sz w:val="18"/>
          <w:szCs w:val="18"/>
        </w:rPr>
      </w:pPr>
      <w:r>
        <w:rPr>
          <w:rFonts w:ascii="宋体" w:hAnsi="宋体" w:cs="Microsoft Sans Serif" w:hint="eastAsia"/>
          <w:sz w:val="18"/>
          <w:szCs w:val="18"/>
        </w:rPr>
        <w:t>7、双方因参展发生争议，应友好协商解决，协商不成的，将争议提交组展单位所在地法院诉讼解决。</w:t>
      </w:r>
    </w:p>
    <w:p w:rsidR="00221DA5" w:rsidRDefault="00221DA5" w:rsidP="00221DA5">
      <w:pPr>
        <w:snapToGrid w:val="0"/>
        <w:spacing w:line="320" w:lineRule="exact"/>
        <w:ind w:leftChars="-200" w:left="-420" w:rightChars="-188" w:right="-395"/>
        <w:jc w:val="left"/>
        <w:rPr>
          <w:rFonts w:ascii="宋体" w:hAnsi="宋体" w:cs="Microsoft Sans Serif"/>
          <w:sz w:val="18"/>
          <w:szCs w:val="18"/>
        </w:rPr>
      </w:pPr>
      <w:r>
        <w:rPr>
          <w:rFonts w:ascii="宋体" w:hAnsi="宋体" w:cs="Microsoft Sans Serif" w:hint="eastAsia"/>
          <w:sz w:val="18"/>
          <w:szCs w:val="18"/>
        </w:rPr>
        <w:t>8、本申请表及参展须知（代合同书）一式二份，经双方签章确认后具有合同效力。签章后的传真件与原件具有同等效力。</w:t>
      </w:r>
    </w:p>
    <w:p w:rsidR="00221DA5" w:rsidRDefault="00221DA5" w:rsidP="00221DA5">
      <w:pPr>
        <w:snapToGrid w:val="0"/>
        <w:spacing w:line="320" w:lineRule="exact"/>
        <w:ind w:leftChars="-200" w:left="-420" w:rightChars="-188" w:right="-395"/>
        <w:jc w:val="left"/>
        <w:rPr>
          <w:rFonts w:ascii="宋体" w:hAnsi="宋体" w:cs="Microsoft Sans Serif"/>
          <w:sz w:val="18"/>
          <w:szCs w:val="18"/>
        </w:rPr>
      </w:pPr>
      <w:r>
        <w:rPr>
          <w:rFonts w:ascii="宋体" w:hAnsi="宋体" w:cs="Microsoft Sans Serif"/>
          <w:sz w:val="18"/>
          <w:szCs w:val="18"/>
        </w:rPr>
        <w:t>9</w:t>
      </w:r>
      <w:r>
        <w:rPr>
          <w:rFonts w:ascii="宋体" w:hAnsi="宋体" w:cs="Microsoft Sans Serif" w:hint="eastAsia"/>
          <w:sz w:val="18"/>
          <w:szCs w:val="18"/>
        </w:rPr>
        <w:t>、未尽事宜，按照招展通知及随后发放的各种相关通知的具体内容确定。</w:t>
      </w:r>
    </w:p>
    <w:p w:rsidR="00221DA5" w:rsidRDefault="00221DA5" w:rsidP="00221DA5">
      <w:pPr>
        <w:snapToGrid w:val="0"/>
        <w:spacing w:line="320" w:lineRule="exact"/>
        <w:ind w:leftChars="-200" w:left="-420" w:rightChars="-188" w:right="-395"/>
        <w:jc w:val="left"/>
        <w:rPr>
          <w:rFonts w:ascii="仿宋_GB2312" w:eastAsia="仿宋_GB2312" w:hAnsi="仿宋_GB2312" w:cs="仿宋_GB2312"/>
          <w:sz w:val="32"/>
          <w:szCs w:val="40"/>
        </w:rPr>
      </w:pPr>
    </w:p>
    <w:p w:rsidR="00221DA5" w:rsidRDefault="00221DA5" w:rsidP="00221DA5"/>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221DA5" w:rsidRDefault="00221DA5" w:rsidP="00221DA5">
      <w:pPr>
        <w:jc w:val="left"/>
        <w:rPr>
          <w:rFonts w:ascii="华文仿宋" w:eastAsia="华文仿宋" w:hAnsi="华文仿宋" w:cs="华文仿宋"/>
          <w:b/>
          <w:bCs/>
          <w:sz w:val="32"/>
          <w:szCs w:val="32"/>
        </w:rPr>
      </w:pPr>
    </w:p>
    <w:p w:rsidR="004B7EAB" w:rsidRDefault="00221DA5" w:rsidP="00221DA5">
      <w:pPr>
        <w:jc w:val="left"/>
        <w:rPr>
          <w:rFonts w:ascii="华文仿宋" w:eastAsia="华文仿宋" w:hAnsi="华文仿宋" w:cs="华文仿宋" w:hint="eastAsia"/>
          <w:bCs/>
          <w:sz w:val="32"/>
          <w:szCs w:val="32"/>
        </w:rPr>
      </w:pPr>
      <w:r>
        <w:rPr>
          <w:rFonts w:ascii="华文仿宋" w:eastAsia="华文仿宋" w:hAnsi="华文仿宋" w:cs="华文仿宋" w:hint="eastAsia"/>
          <w:b/>
          <w:bCs/>
          <w:sz w:val="32"/>
          <w:szCs w:val="32"/>
        </w:rPr>
        <w:lastRenderedPageBreak/>
        <w:t>附件2</w:t>
      </w:r>
      <w:r>
        <w:rPr>
          <w:rFonts w:ascii="华文仿宋" w:eastAsia="华文仿宋" w:hAnsi="华文仿宋" w:cs="华文仿宋" w:hint="eastAsia"/>
          <w:bCs/>
          <w:sz w:val="32"/>
          <w:szCs w:val="32"/>
        </w:rPr>
        <w:t xml:space="preserve">            </w:t>
      </w:r>
      <w:r>
        <w:rPr>
          <w:rFonts w:ascii="华文仿宋" w:eastAsia="华文仿宋" w:hAnsi="华文仿宋" w:cs="华文仿宋"/>
          <w:bCs/>
          <w:sz w:val="32"/>
          <w:szCs w:val="32"/>
        </w:rPr>
        <w:t xml:space="preserve">   </w:t>
      </w:r>
    </w:p>
    <w:p w:rsidR="00221DA5" w:rsidRDefault="00221DA5" w:rsidP="004B7EAB">
      <w:pPr>
        <w:spacing w:after="100" w:afterAutospacing="1"/>
        <w:jc w:val="center"/>
        <w:rPr>
          <w:rFonts w:ascii="Verdana"/>
          <w:b/>
          <w:bCs/>
          <w:sz w:val="44"/>
          <w:szCs w:val="44"/>
        </w:rPr>
      </w:pPr>
      <w:r>
        <w:rPr>
          <w:rFonts w:ascii="Verdana" w:hint="eastAsia"/>
          <w:b/>
          <w:bCs/>
          <w:sz w:val="44"/>
          <w:szCs w:val="44"/>
        </w:rPr>
        <w:t>市场情况</w:t>
      </w:r>
    </w:p>
    <w:p w:rsidR="00221DA5" w:rsidRDefault="00221DA5" w:rsidP="00221DA5">
      <w:pPr>
        <w:pStyle w:val="a3"/>
        <w:spacing w:before="0" w:beforeAutospacing="0" w:after="0" w:afterAutospacing="0" w:line="450" w:lineRule="atLeast"/>
        <w:ind w:firstLineChars="200" w:firstLine="641"/>
        <w:rPr>
          <w:rFonts w:ascii="华文仿宋" w:eastAsia="华文仿宋" w:hAnsi="华文仿宋" w:cs="华文仿宋"/>
          <w:b/>
          <w:bCs/>
          <w:kern w:val="2"/>
          <w:sz w:val="32"/>
          <w:szCs w:val="32"/>
        </w:rPr>
      </w:pPr>
      <w:r>
        <w:rPr>
          <w:rFonts w:ascii="华文仿宋" w:eastAsia="华文仿宋" w:hAnsi="华文仿宋" w:cs="华文仿宋" w:hint="eastAsia"/>
          <w:b/>
          <w:bCs/>
          <w:kern w:val="2"/>
          <w:sz w:val="32"/>
          <w:szCs w:val="32"/>
        </w:rPr>
        <w:t>一、国家情况</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 xml:space="preserve">摩洛哥王国位于非洲西北部，与阿尔及利亚、西撒哈拉、大西洋相邻，北隔直布罗陀海峡与西班牙相望，扼地中海入大西洋的门户，国土面积44.65万平方公里，总人口3322万，人均GDP2832美元。地理位置优越，交通便利海运发达，自然资源丰富，被誉为西非门户。 </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中摩关系自建交以来，关系友好稳定，自“一带一路”政策实施以来，摩洛哥逐渐成为战略支撑点。2016年摩洛哥给予中国公民免签政策，对中摩合作及贸易往来更加有利。随着摩洛哥市场自由化及政策逐渐开放，摩洛哥重点行业市场潜力巨大，合作空间广阔。</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摩洛哥濒临欧洲，与欧盟、美国及部分阿拉伯和非洲国家签订了自贸区协定，覆盖10亿消费者市场，值得引起各国投资者的关注。明显的区位优势使摩洛哥成为连接欧盟、阿拉伯世界和非洲三大市场的枢纽。</w:t>
      </w:r>
    </w:p>
    <w:p w:rsidR="00221DA5" w:rsidRDefault="00221DA5" w:rsidP="00221DA5">
      <w:pPr>
        <w:ind w:firstLineChars="200" w:firstLine="641"/>
        <w:jc w:val="left"/>
        <w:rPr>
          <w:rFonts w:ascii="华文仿宋" w:eastAsia="华文仿宋" w:hAnsi="华文仿宋" w:cs="华文仿宋"/>
          <w:b/>
          <w:bCs/>
          <w:sz w:val="32"/>
          <w:szCs w:val="32"/>
        </w:rPr>
      </w:pPr>
      <w:r>
        <w:rPr>
          <w:rFonts w:ascii="华文仿宋" w:eastAsia="华文仿宋" w:hAnsi="华文仿宋" w:cs="华文仿宋" w:hint="eastAsia"/>
          <w:b/>
          <w:bCs/>
          <w:sz w:val="32"/>
          <w:szCs w:val="32"/>
        </w:rPr>
        <w:t>二、房地产市场</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摩洛哥作为美欧非与中东地区的连接，具有优越的地理位置，拥有十亿消费者。摩洛哥在2004年与美国土耳其签署了双边自由贸易协议，对其经济发展有很大帮助。随着经济发展，大量办公楼也在兴建中，对家居装饰的需求也在扩大。</w:t>
      </w:r>
      <w:r>
        <w:rPr>
          <w:rFonts w:ascii="华文仿宋" w:eastAsia="华文仿宋" w:hAnsi="华文仿宋" w:cs="华文仿宋" w:hint="eastAsia"/>
          <w:bCs/>
          <w:sz w:val="32"/>
          <w:szCs w:val="32"/>
        </w:rPr>
        <w:lastRenderedPageBreak/>
        <w:t>2015年摩洛哥建筑公司与大西洋银行联合，出资32亿迪拉姆（约合4亿美元），建设8座医院及800套住房。在刚果布，摩洛哥建筑公司将参与包括体育中心、医疗中心、办公楼及酒店的施工，计划投资22亿迪拉姆（约合2.67亿美元），因此北非整体家具市场前景相当乐观。</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摩洛哥政府也非常支持外国公司到本地投资。私营化为家具行业稳定提供了非常好的条件，过去几年家具行业的进口都呈现出增长态势。由于地缘政治影响，摩洛哥2014年经济增长较2013年有所放缓， 而2017年人均GDP达到3007美元，同比增长为4%。</w:t>
      </w:r>
    </w:p>
    <w:p w:rsidR="00221DA5" w:rsidRPr="004B7EAB" w:rsidRDefault="00221DA5" w:rsidP="004B7EAB">
      <w:pPr>
        <w:ind w:firstLineChars="200" w:firstLine="641"/>
        <w:jc w:val="left"/>
        <w:rPr>
          <w:rFonts w:ascii="华文仿宋" w:eastAsia="华文仿宋" w:hAnsi="华文仿宋" w:cs="华文仿宋"/>
          <w:b/>
          <w:bCs/>
          <w:sz w:val="32"/>
          <w:szCs w:val="32"/>
        </w:rPr>
      </w:pPr>
      <w:r w:rsidRPr="004B7EAB">
        <w:rPr>
          <w:rFonts w:ascii="华文仿宋" w:eastAsia="华文仿宋" w:hAnsi="华文仿宋" w:cs="华文仿宋" w:hint="eastAsia"/>
          <w:b/>
          <w:bCs/>
          <w:sz w:val="32"/>
          <w:szCs w:val="32"/>
        </w:rPr>
        <w:t>新建项目：</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2017年7月20日，中铁建国际与项目联合体合作伙伴摩TGCC公司共同和业主摩外贸银行（BMCE）签署“拉巴特塔”项目的设计施工总承包合同。合同金额37.32亿迪拉姆，约合3.8亿美元。总工期45个月，主体工程36个月，装饰工程9个月。项目地点位于摩首都拉巴特市布雷格雷格（Bourgreg）河谷地带，占地3万平方米，总建筑面积8.5万平方米，主体塔楼52层，设计高度250米，包括酒店、办公和高档公寓三大主要功能，有望成为摩洛哥现代化地标性建筑。</w:t>
      </w:r>
    </w:p>
    <w:p w:rsidR="00221DA5" w:rsidRDefault="00221DA5" w:rsidP="00221DA5">
      <w:pPr>
        <w:ind w:firstLineChars="200" w:firstLine="641"/>
        <w:jc w:val="left"/>
        <w:rPr>
          <w:rFonts w:ascii="华文仿宋" w:eastAsia="华文仿宋" w:hAnsi="华文仿宋" w:cs="华文仿宋"/>
          <w:b/>
          <w:bCs/>
          <w:sz w:val="32"/>
          <w:szCs w:val="32"/>
        </w:rPr>
      </w:pPr>
      <w:r>
        <w:rPr>
          <w:rFonts w:ascii="华文仿宋" w:eastAsia="华文仿宋" w:hAnsi="华文仿宋" w:cs="华文仿宋" w:hint="eastAsia"/>
          <w:b/>
          <w:bCs/>
          <w:sz w:val="32"/>
          <w:szCs w:val="32"/>
        </w:rPr>
        <w:t>三、建材市场需求量大</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摩洛哥建筑业近些年主要推动力来自于基础设施、能源</w:t>
      </w:r>
      <w:r>
        <w:rPr>
          <w:rFonts w:ascii="华文仿宋" w:eastAsia="华文仿宋" w:hAnsi="华文仿宋" w:cs="华文仿宋" w:hint="eastAsia"/>
          <w:bCs/>
          <w:sz w:val="32"/>
          <w:szCs w:val="32"/>
        </w:rPr>
        <w:lastRenderedPageBreak/>
        <w:t>和新建住宅项目的投资。摩洛哥人口增长(每年增长4%)和城市化进程的增长正在推动住房需求，当地政府正在扩大其社会公益住房项目。缺乏住房是一个首要问题，尽管已建成的房屋数量相对较多，但相对于所需求的房屋数量来说仍然比较低。据城市政策部长介绍，在2014年，全国住房短缺达64.2万套。为了保持供需平衡，每年必须新建约17万个住房。</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摩洛哥政府还推出了新城项目，目的是到2020年建设15个新城市，这个方案能够提供大量价格具有竞争力的税收优惠土地。摩洛哥还在大城市附近建设“绿色中心”，以便在保护环境的同时，创造出多元化的房屋供应(例如，距离卡萨布兰卡10公里的bouskoura 绿色高尔夫城)。同时，为了鼓励私立学校的建设，政府已经设立了fopep(fonds de promotion de l‘enseignementprivé)来共同资助这些项目。</w:t>
      </w:r>
    </w:p>
    <w:p w:rsidR="00221DA5" w:rsidRDefault="00221DA5" w:rsidP="00221DA5">
      <w:pPr>
        <w:ind w:firstLineChars="200" w:firstLine="641"/>
        <w:jc w:val="left"/>
        <w:rPr>
          <w:rFonts w:ascii="华文仿宋" w:eastAsia="华文仿宋" w:hAnsi="华文仿宋" w:cs="华文仿宋"/>
          <w:b/>
          <w:bCs/>
          <w:sz w:val="32"/>
          <w:szCs w:val="32"/>
        </w:rPr>
      </w:pPr>
      <w:r>
        <w:rPr>
          <w:rFonts w:ascii="华文仿宋" w:eastAsia="华文仿宋" w:hAnsi="华文仿宋" w:cs="华文仿宋" w:hint="eastAsia"/>
          <w:b/>
          <w:bCs/>
          <w:sz w:val="32"/>
          <w:szCs w:val="32"/>
        </w:rPr>
        <w:t>四、大力发展基础建设</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摩洛哥正是一个稳定发展的国家，近几年来正大力发展基础建设，其中公路网，机场现代化，轻轨路线及丹吉尔地中海新港的建设，都大幅促进了建材市场的活跃发展。其建筑业市场的蓬勃发展还表现在 15 座新城和发展旅游景区的城建项目，对现有城市进行改造及现代化，大力新建社区住房、工业区、学校等基础设施建设的规划。</w:t>
      </w:r>
    </w:p>
    <w:p w:rsidR="00221DA5" w:rsidRDefault="00221DA5" w:rsidP="00221DA5">
      <w:pPr>
        <w:ind w:firstLineChars="200" w:firstLine="640"/>
        <w:jc w:val="left"/>
        <w:rPr>
          <w:rFonts w:ascii="华文仿宋" w:eastAsia="华文仿宋" w:hAnsi="华文仿宋" w:cs="华文仿宋"/>
          <w:bCs/>
          <w:sz w:val="32"/>
          <w:szCs w:val="32"/>
        </w:rPr>
      </w:pPr>
      <w:r>
        <w:rPr>
          <w:rFonts w:ascii="华文仿宋" w:eastAsia="华文仿宋" w:hAnsi="华文仿宋" w:cs="华文仿宋" w:hint="eastAsia"/>
          <w:bCs/>
          <w:sz w:val="32"/>
          <w:szCs w:val="32"/>
        </w:rPr>
        <w:t>根据2035年道路规划，摩将修建3400公里的高速公路和2100公里的快速路，总投资额约960亿迪拉姆。此外，对</w:t>
      </w:r>
      <w:r>
        <w:rPr>
          <w:rFonts w:ascii="华文仿宋" w:eastAsia="华文仿宋" w:hAnsi="华文仿宋" w:cs="华文仿宋" w:hint="eastAsia"/>
          <w:bCs/>
          <w:sz w:val="32"/>
          <w:szCs w:val="32"/>
        </w:rPr>
        <w:lastRenderedPageBreak/>
        <w:t>现有的7000公里道路进行翻新以及在乡村地区新建30000公里道路，还将投资约850亿迪拉姆。摩洛哥拉巴特-塞累有轨电车2号线的延长工程有望在今年底前动工，耗资约16亿迪拉姆。摩洛哥《经济学家报》8月11日报道，摩洛哥为保障饮用水安全、发电和灌溉，将新建两个大坝，总投资预计17亿迪拉姆。</w:t>
      </w:r>
    </w:p>
    <w:p w:rsidR="00824356" w:rsidRDefault="00221DA5" w:rsidP="004B7EAB">
      <w:pPr>
        <w:ind w:firstLineChars="200" w:firstLine="640"/>
      </w:pPr>
      <w:r>
        <w:rPr>
          <w:rFonts w:ascii="华文仿宋" w:eastAsia="华文仿宋" w:hAnsi="华文仿宋" w:cs="华文仿宋" w:hint="eastAsia"/>
          <w:bCs/>
          <w:sz w:val="32"/>
          <w:szCs w:val="32"/>
        </w:rPr>
        <w:t>近年来</w:t>
      </w:r>
      <w:r w:rsidR="004B7EAB">
        <w:rPr>
          <w:rFonts w:ascii="华文仿宋" w:eastAsia="华文仿宋" w:hAnsi="华文仿宋" w:cs="华文仿宋" w:hint="eastAsia"/>
          <w:bCs/>
          <w:sz w:val="32"/>
          <w:szCs w:val="32"/>
        </w:rPr>
        <w:t>，</w:t>
      </w:r>
      <w:r>
        <w:rPr>
          <w:rFonts w:ascii="华文仿宋" w:eastAsia="华文仿宋" w:hAnsi="华文仿宋" w:cs="华文仿宋" w:hint="eastAsia"/>
          <w:bCs/>
          <w:sz w:val="32"/>
          <w:szCs w:val="32"/>
        </w:rPr>
        <w:t>摩洛哥房地产业发展迅猛,与之相关的水泥、瓷砖等产业的投资都相应大幅度提高</w:t>
      </w:r>
      <w:r w:rsidR="004B7EAB">
        <w:rPr>
          <w:rFonts w:ascii="华文仿宋" w:eastAsia="华文仿宋" w:hAnsi="华文仿宋" w:cs="华文仿宋" w:hint="eastAsia"/>
          <w:bCs/>
          <w:sz w:val="32"/>
          <w:szCs w:val="32"/>
        </w:rPr>
        <w:t>，</w:t>
      </w:r>
      <w:r>
        <w:rPr>
          <w:rFonts w:ascii="华文仿宋" w:eastAsia="华文仿宋" w:hAnsi="华文仿宋" w:cs="华文仿宋" w:hint="eastAsia"/>
          <w:bCs/>
          <w:sz w:val="32"/>
          <w:szCs w:val="32"/>
        </w:rPr>
        <w:t>惟独石材业的发展停滞不前，缺乏相关法律规范石材市场、开采地基础设施落后、运输成本过高等是阻碍摩石材业发展的主要原因。此外</w:t>
      </w:r>
      <w:r w:rsidR="004B7EAB">
        <w:rPr>
          <w:rFonts w:ascii="华文仿宋" w:eastAsia="华文仿宋" w:hAnsi="华文仿宋" w:cs="华文仿宋" w:hint="eastAsia"/>
          <w:bCs/>
          <w:sz w:val="32"/>
          <w:szCs w:val="32"/>
        </w:rPr>
        <w:t>，</w:t>
      </w:r>
      <w:r>
        <w:rPr>
          <w:rFonts w:ascii="华文仿宋" w:eastAsia="华文仿宋" w:hAnsi="华文仿宋" w:cs="华文仿宋" w:hint="eastAsia"/>
          <w:bCs/>
          <w:sz w:val="32"/>
          <w:szCs w:val="32"/>
        </w:rPr>
        <w:t>摩洛哥相关部门在技术研发、职业培训及高级专业人才培养方面的投入不够</w:t>
      </w:r>
      <w:r w:rsidR="004B7EAB">
        <w:rPr>
          <w:rFonts w:ascii="华文仿宋" w:eastAsia="华文仿宋" w:hAnsi="华文仿宋" w:cs="华文仿宋" w:hint="eastAsia"/>
          <w:bCs/>
          <w:sz w:val="32"/>
          <w:szCs w:val="32"/>
        </w:rPr>
        <w:t>，</w:t>
      </w:r>
      <w:r>
        <w:rPr>
          <w:rFonts w:ascii="华文仿宋" w:eastAsia="华文仿宋" w:hAnsi="华文仿宋" w:cs="华文仿宋" w:hint="eastAsia"/>
          <w:bCs/>
          <w:sz w:val="32"/>
          <w:szCs w:val="32"/>
        </w:rPr>
        <w:t>导致石材从业人员的技术水平普遍落后</w:t>
      </w:r>
      <w:r w:rsidR="004B7EAB">
        <w:rPr>
          <w:rFonts w:ascii="华文仿宋" w:eastAsia="华文仿宋" w:hAnsi="华文仿宋" w:cs="华文仿宋" w:hint="eastAsia"/>
          <w:bCs/>
          <w:sz w:val="32"/>
          <w:szCs w:val="32"/>
        </w:rPr>
        <w:t>，</w:t>
      </w:r>
      <w:r>
        <w:rPr>
          <w:rFonts w:ascii="华文仿宋" w:eastAsia="华文仿宋" w:hAnsi="华文仿宋" w:cs="华文仿宋" w:hint="eastAsia"/>
          <w:bCs/>
          <w:sz w:val="32"/>
          <w:szCs w:val="32"/>
        </w:rPr>
        <w:t>生产能力低下</w:t>
      </w:r>
      <w:r w:rsidR="004B7EAB">
        <w:rPr>
          <w:rFonts w:ascii="华文仿宋" w:eastAsia="华文仿宋" w:hAnsi="华文仿宋" w:cs="华文仿宋" w:hint="eastAsia"/>
          <w:bCs/>
          <w:sz w:val="32"/>
          <w:szCs w:val="32"/>
        </w:rPr>
        <w:t>，</w:t>
      </w:r>
      <w:r>
        <w:rPr>
          <w:rFonts w:ascii="华文仿宋" w:eastAsia="华文仿宋" w:hAnsi="华文仿宋" w:cs="华文仿宋" w:hint="eastAsia"/>
          <w:bCs/>
          <w:sz w:val="32"/>
          <w:szCs w:val="32"/>
        </w:rPr>
        <w:t>无法满足市场需求</w:t>
      </w:r>
      <w:r w:rsidR="004B7EAB">
        <w:rPr>
          <w:rFonts w:ascii="华文仿宋" w:eastAsia="华文仿宋" w:hAnsi="华文仿宋" w:cs="华文仿宋" w:hint="eastAsia"/>
          <w:bCs/>
          <w:sz w:val="32"/>
          <w:szCs w:val="32"/>
        </w:rPr>
        <w:t>，</w:t>
      </w:r>
      <w:r>
        <w:rPr>
          <w:rFonts w:ascii="华文仿宋" w:eastAsia="华文仿宋" w:hAnsi="华文仿宋" w:cs="华文仿宋" w:hint="eastAsia"/>
          <w:bCs/>
          <w:sz w:val="32"/>
          <w:szCs w:val="32"/>
        </w:rPr>
        <w:t>摩洛哥建材市场潜力巨大。</w:t>
      </w:r>
    </w:p>
    <w:sectPr w:rsidR="00824356" w:rsidSect="008243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B18" w:rsidRDefault="00486B18" w:rsidP="004B7EAB">
      <w:r>
        <w:separator/>
      </w:r>
    </w:p>
  </w:endnote>
  <w:endnote w:type="continuationSeparator" w:id="1">
    <w:p w:rsidR="00486B18" w:rsidRDefault="00486B18" w:rsidP="004B7E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方正小标宋简体">
    <w:altName w:val="微软雅黑"/>
    <w:charset w:val="86"/>
    <w:family w:val="auto"/>
    <w:pitch w:val="default"/>
    <w:sig w:usb0="00000000" w:usb1="0000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B18" w:rsidRDefault="00486B18" w:rsidP="004B7EAB">
      <w:r>
        <w:separator/>
      </w:r>
    </w:p>
  </w:footnote>
  <w:footnote w:type="continuationSeparator" w:id="1">
    <w:p w:rsidR="00486B18" w:rsidRDefault="00486B18" w:rsidP="004B7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1DA5"/>
    <w:rsid w:val="00221DA5"/>
    <w:rsid w:val="00486B18"/>
    <w:rsid w:val="004B7EAB"/>
    <w:rsid w:val="0052097E"/>
    <w:rsid w:val="00824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221DA5"/>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4B7E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B7EAB"/>
    <w:rPr>
      <w:rFonts w:ascii="Times New Roman" w:eastAsia="宋体" w:hAnsi="Times New Roman" w:cs="Times New Roman"/>
      <w:sz w:val="18"/>
      <w:szCs w:val="18"/>
    </w:rPr>
  </w:style>
  <w:style w:type="paragraph" w:styleId="a5">
    <w:name w:val="footer"/>
    <w:basedOn w:val="a"/>
    <w:link w:val="Char0"/>
    <w:uiPriority w:val="99"/>
    <w:semiHidden/>
    <w:unhideWhenUsed/>
    <w:rsid w:val="004B7EA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B7E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JKY</dc:creator>
  <cp:lastModifiedBy>JKY</cp:lastModifiedBy>
  <cp:revision>2</cp:revision>
  <dcterms:created xsi:type="dcterms:W3CDTF">2019-07-15T13:25:00Z</dcterms:created>
  <dcterms:modified xsi:type="dcterms:W3CDTF">2019-07-15T14:22:00Z</dcterms:modified>
</cp:coreProperties>
</file>